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9710" w14:textId="77777777" w:rsidR="002907A3" w:rsidRPr="00AE6837" w:rsidRDefault="002907A3" w:rsidP="00AE6837">
      <w:pPr>
        <w:shd w:val="clear" w:color="auto" w:fill="FFFFFF"/>
        <w:spacing w:after="0" w:line="240" w:lineRule="auto"/>
        <w:jc w:val="center"/>
        <w:rPr>
          <w:rFonts w:ascii="Ariel" w:hAnsi="Ariel" w:cs="Arial"/>
          <w:b/>
          <w:bCs/>
          <w:sz w:val="32"/>
          <w:szCs w:val="32"/>
        </w:rPr>
      </w:pPr>
      <w:r w:rsidRPr="00AE6837">
        <w:rPr>
          <w:rFonts w:ascii="Ariel" w:hAnsi="Ariel" w:cs="Arial"/>
          <w:b/>
          <w:bCs/>
          <w:sz w:val="32"/>
          <w:szCs w:val="32"/>
        </w:rPr>
        <w:t>Fulton, Montgomery, and Schoharie Counties Workforce Development Board, Inc.</w:t>
      </w:r>
    </w:p>
    <w:p w14:paraId="3D70395F" w14:textId="77777777" w:rsidR="002907A3" w:rsidRPr="00AE6837" w:rsidRDefault="002907A3" w:rsidP="00AE6837">
      <w:pPr>
        <w:pStyle w:val="NoSpacing"/>
        <w:jc w:val="center"/>
        <w:rPr>
          <w:rFonts w:ascii="Ariel" w:hAnsi="Ariel" w:cs="Arial"/>
          <w:b/>
          <w:bCs/>
          <w:sz w:val="32"/>
        </w:rPr>
      </w:pPr>
      <w:r w:rsidRPr="00AE6837">
        <w:rPr>
          <w:rFonts w:ascii="Ariel" w:hAnsi="Ariel" w:cs="Arial"/>
          <w:b/>
          <w:bCs/>
          <w:sz w:val="32"/>
        </w:rPr>
        <w:t>2620 Riverfront Center</w:t>
      </w:r>
    </w:p>
    <w:p w14:paraId="1555D565" w14:textId="77777777" w:rsidR="002907A3" w:rsidRPr="00AE6837" w:rsidRDefault="002907A3" w:rsidP="00AE6837">
      <w:pPr>
        <w:pStyle w:val="NoSpacing"/>
        <w:jc w:val="center"/>
        <w:rPr>
          <w:rFonts w:ascii="Ariel" w:hAnsi="Ariel" w:cs="Arial"/>
          <w:b/>
          <w:bCs/>
          <w:sz w:val="32"/>
        </w:rPr>
      </w:pPr>
      <w:r w:rsidRPr="00AE6837">
        <w:rPr>
          <w:rFonts w:ascii="Ariel" w:hAnsi="Ariel" w:cs="Arial"/>
          <w:b/>
          <w:bCs/>
          <w:sz w:val="32"/>
        </w:rPr>
        <w:t>Amsterdam, NY 12010</w:t>
      </w:r>
    </w:p>
    <w:p w14:paraId="18E83C0A" w14:textId="77777777" w:rsidR="002907A3" w:rsidRPr="00AE6837" w:rsidRDefault="002907A3" w:rsidP="00AE6837">
      <w:pPr>
        <w:pStyle w:val="NoSpacing"/>
        <w:jc w:val="center"/>
        <w:rPr>
          <w:rFonts w:ascii="Ariel" w:hAnsi="Ariel" w:cs="Arial"/>
          <w:b/>
          <w:bCs/>
          <w:sz w:val="32"/>
        </w:rPr>
      </w:pPr>
      <w:r w:rsidRPr="00AE6837">
        <w:rPr>
          <w:rFonts w:ascii="Ariel" w:hAnsi="Ariel" w:cs="Arial"/>
          <w:b/>
          <w:bCs/>
          <w:sz w:val="32"/>
        </w:rPr>
        <w:t>Contact:  Gina Papa</w:t>
      </w:r>
    </w:p>
    <w:p w14:paraId="205415E4" w14:textId="77777777" w:rsidR="002907A3" w:rsidRPr="00AE6837" w:rsidRDefault="002907A3" w:rsidP="00AE6837">
      <w:pPr>
        <w:pStyle w:val="NoSpacing"/>
        <w:jc w:val="center"/>
        <w:rPr>
          <w:rFonts w:ascii="Ariel" w:hAnsi="Ariel" w:cs="Arial"/>
          <w:b/>
          <w:bCs/>
          <w:sz w:val="32"/>
        </w:rPr>
      </w:pPr>
      <w:r w:rsidRPr="00AE6837">
        <w:rPr>
          <w:rFonts w:ascii="Ariel" w:hAnsi="Ariel" w:cs="Arial"/>
          <w:b/>
          <w:bCs/>
          <w:sz w:val="32"/>
        </w:rPr>
        <w:t>518-842-3676 Ext. 3017</w:t>
      </w:r>
    </w:p>
    <w:p w14:paraId="10A1449F" w14:textId="77777777" w:rsidR="002907A3" w:rsidRDefault="002907A3" w:rsidP="00AE6837">
      <w:pPr>
        <w:spacing w:after="0" w:line="240" w:lineRule="auto"/>
        <w:rPr>
          <w:rFonts w:ascii="Ariel" w:hAnsi="Ariel"/>
          <w:sz w:val="32"/>
          <w:szCs w:val="32"/>
        </w:rPr>
      </w:pPr>
    </w:p>
    <w:p w14:paraId="1A4C61C0" w14:textId="77777777" w:rsidR="005D3AB4" w:rsidRDefault="005D3AB4" w:rsidP="00AE6837">
      <w:pPr>
        <w:spacing w:after="0" w:line="240" w:lineRule="auto"/>
        <w:rPr>
          <w:rFonts w:ascii="Ariel" w:hAnsi="Ariel"/>
          <w:sz w:val="32"/>
          <w:szCs w:val="32"/>
        </w:rPr>
      </w:pPr>
    </w:p>
    <w:p w14:paraId="0C860028" w14:textId="77777777" w:rsidR="005D3AB4" w:rsidRDefault="005D3AB4" w:rsidP="00AE6837">
      <w:pPr>
        <w:spacing w:after="0" w:line="240" w:lineRule="auto"/>
        <w:rPr>
          <w:rFonts w:ascii="Ariel" w:hAnsi="Ariel"/>
          <w:sz w:val="32"/>
          <w:szCs w:val="32"/>
        </w:rPr>
      </w:pPr>
    </w:p>
    <w:p w14:paraId="7A06CD91" w14:textId="77777777" w:rsidR="005D3AB4" w:rsidRPr="00AE6837" w:rsidRDefault="005D3AB4" w:rsidP="00AE6837">
      <w:pPr>
        <w:spacing w:after="0" w:line="240" w:lineRule="auto"/>
        <w:rPr>
          <w:rFonts w:ascii="Ariel" w:hAnsi="Ariel"/>
          <w:sz w:val="32"/>
          <w:szCs w:val="32"/>
        </w:rPr>
      </w:pPr>
    </w:p>
    <w:p w14:paraId="15D254CA" w14:textId="5F250E5C" w:rsidR="002907A3" w:rsidRDefault="002907A3" w:rsidP="00AE6837">
      <w:pPr>
        <w:pStyle w:val="NoSpacing"/>
        <w:jc w:val="center"/>
        <w:rPr>
          <w:rFonts w:ascii="Ariel" w:hAnsi="Ariel" w:cs="Arial"/>
          <w:b/>
          <w:bCs/>
          <w:sz w:val="32"/>
          <w:u w:val="single"/>
        </w:rPr>
      </w:pPr>
      <w:r w:rsidRPr="00AE6837">
        <w:rPr>
          <w:rFonts w:ascii="Ariel" w:hAnsi="Ariel" w:cs="Arial"/>
          <w:b/>
          <w:bCs/>
          <w:sz w:val="32"/>
          <w:u w:val="single"/>
        </w:rPr>
        <w:t xml:space="preserve">BY 2024 </w:t>
      </w:r>
      <w:r w:rsidR="005D3AB4">
        <w:rPr>
          <w:rFonts w:ascii="Ariel" w:hAnsi="Ariel" w:cs="Arial"/>
          <w:b/>
          <w:bCs/>
          <w:sz w:val="32"/>
          <w:u w:val="single"/>
        </w:rPr>
        <w:t>–</w:t>
      </w:r>
      <w:r w:rsidRPr="00AE6837">
        <w:rPr>
          <w:rFonts w:ascii="Ariel" w:hAnsi="Ariel" w:cs="Arial"/>
          <w:b/>
          <w:bCs/>
          <w:sz w:val="32"/>
          <w:u w:val="single"/>
        </w:rPr>
        <w:t xml:space="preserve"> 04</w:t>
      </w:r>
    </w:p>
    <w:p w14:paraId="67BBBD9A" w14:textId="77777777" w:rsidR="005D3AB4" w:rsidRDefault="005D3AB4" w:rsidP="00AE6837">
      <w:pPr>
        <w:pStyle w:val="NoSpacing"/>
        <w:jc w:val="center"/>
        <w:rPr>
          <w:rFonts w:ascii="Ariel" w:hAnsi="Ariel" w:cs="Arial"/>
          <w:b/>
          <w:bCs/>
          <w:sz w:val="32"/>
          <w:u w:val="single"/>
        </w:rPr>
      </w:pPr>
    </w:p>
    <w:p w14:paraId="6A278837" w14:textId="77777777" w:rsidR="005D3AB4" w:rsidRDefault="005D3AB4" w:rsidP="00AE6837">
      <w:pPr>
        <w:pStyle w:val="NoSpacing"/>
        <w:jc w:val="center"/>
        <w:rPr>
          <w:rFonts w:ascii="Ariel" w:hAnsi="Ariel" w:cs="Arial"/>
          <w:b/>
          <w:bCs/>
          <w:sz w:val="32"/>
          <w:u w:val="single"/>
        </w:rPr>
      </w:pPr>
    </w:p>
    <w:p w14:paraId="179F7FB3" w14:textId="77777777" w:rsidR="005D3AB4" w:rsidRPr="00AE6837" w:rsidRDefault="005D3AB4" w:rsidP="00AE6837">
      <w:pPr>
        <w:pStyle w:val="NoSpacing"/>
        <w:jc w:val="center"/>
        <w:rPr>
          <w:rFonts w:ascii="Ariel" w:hAnsi="Ariel" w:cs="Arial"/>
          <w:b/>
          <w:bCs/>
          <w:sz w:val="32"/>
          <w:u w:val="single"/>
        </w:rPr>
      </w:pPr>
    </w:p>
    <w:p w14:paraId="74EF257B" w14:textId="77777777" w:rsidR="002907A3" w:rsidRPr="00AE6837" w:rsidRDefault="002907A3" w:rsidP="00AE6837">
      <w:pPr>
        <w:spacing w:after="0" w:line="240" w:lineRule="auto"/>
        <w:jc w:val="center"/>
        <w:rPr>
          <w:rFonts w:ascii="Ariel" w:hAnsi="Ariel"/>
          <w:sz w:val="32"/>
          <w:szCs w:val="32"/>
        </w:rPr>
      </w:pPr>
    </w:p>
    <w:p w14:paraId="388C10C6" w14:textId="77777777" w:rsidR="003C5A63" w:rsidRPr="00AE6837" w:rsidRDefault="003C5A63" w:rsidP="00AE6837">
      <w:pPr>
        <w:spacing w:after="0" w:line="240" w:lineRule="auto"/>
        <w:jc w:val="center"/>
        <w:rPr>
          <w:rFonts w:ascii="Ariel" w:hAnsi="Ariel"/>
          <w:sz w:val="32"/>
          <w:szCs w:val="32"/>
        </w:rPr>
      </w:pPr>
    </w:p>
    <w:p w14:paraId="157DE0F0" w14:textId="5AEA184D" w:rsidR="002907A3" w:rsidRPr="00AE6837" w:rsidRDefault="002907A3" w:rsidP="00AE6837">
      <w:pPr>
        <w:spacing w:after="0" w:line="240" w:lineRule="auto"/>
        <w:jc w:val="center"/>
        <w:rPr>
          <w:rFonts w:ascii="Ariel" w:hAnsi="Ariel"/>
          <w:sz w:val="32"/>
          <w:szCs w:val="32"/>
          <w:u w:val="single"/>
        </w:rPr>
      </w:pPr>
      <w:r w:rsidRPr="00AE6837">
        <w:rPr>
          <w:rFonts w:ascii="Ariel" w:hAnsi="Ariel"/>
          <w:sz w:val="32"/>
          <w:szCs w:val="32"/>
          <w:u w:val="single"/>
        </w:rPr>
        <w:t>Request to Transfer Funds Between Dislocated Worker and Adult PY24 Funds on a Case-By-Case Basis</w:t>
      </w:r>
    </w:p>
    <w:p w14:paraId="192B1767" w14:textId="77777777" w:rsidR="002907A3" w:rsidRPr="00B263B8" w:rsidRDefault="002907A3" w:rsidP="00AE6837">
      <w:pPr>
        <w:spacing w:after="0" w:line="240" w:lineRule="auto"/>
        <w:rPr>
          <w:rFonts w:ascii="Ariel" w:hAnsi="Ariel"/>
        </w:rPr>
      </w:pPr>
    </w:p>
    <w:p w14:paraId="252D9772" w14:textId="77777777" w:rsidR="002907A3" w:rsidRPr="00B263B8" w:rsidRDefault="002907A3" w:rsidP="00AE6837">
      <w:pPr>
        <w:spacing w:after="0" w:line="240" w:lineRule="auto"/>
        <w:rPr>
          <w:rFonts w:ascii="Ariel" w:hAnsi="Ariel"/>
        </w:rPr>
      </w:pPr>
    </w:p>
    <w:p w14:paraId="6117BFC3" w14:textId="4AF348DD" w:rsidR="002907A3" w:rsidRPr="00B263B8" w:rsidRDefault="002907A3" w:rsidP="00AE6837">
      <w:pPr>
        <w:spacing w:after="0" w:line="240" w:lineRule="auto"/>
        <w:rPr>
          <w:rFonts w:ascii="Ariel" w:hAnsi="Ariel"/>
          <w:sz w:val="24"/>
          <w:szCs w:val="24"/>
        </w:rPr>
      </w:pPr>
      <w:r w:rsidRPr="00B263B8">
        <w:rPr>
          <w:rFonts w:ascii="Ariel" w:hAnsi="Ariel"/>
          <w:sz w:val="24"/>
          <w:szCs w:val="24"/>
        </w:rPr>
        <w:t xml:space="preserve">Be it resolved that the Fulton, Montgomery and Schoharie Counties Workforce Development Board, Inc. accept the recommendations of the Executive Committee to allow transfers between Dislocated Workers and Adult PY24 funds on a case-by-case basis, with the consent of the Executive Committee. </w:t>
      </w:r>
    </w:p>
    <w:p w14:paraId="67248364" w14:textId="77777777" w:rsidR="002907A3" w:rsidRDefault="002907A3" w:rsidP="00AE6837">
      <w:pPr>
        <w:spacing w:after="0" w:line="240" w:lineRule="auto"/>
        <w:rPr>
          <w:rFonts w:ascii="Ariel" w:hAnsi="Ariel"/>
          <w:sz w:val="24"/>
          <w:szCs w:val="24"/>
        </w:rPr>
      </w:pPr>
    </w:p>
    <w:p w14:paraId="0AFDF7B5" w14:textId="77777777" w:rsidR="004807FB" w:rsidRPr="00B263B8" w:rsidRDefault="004807FB" w:rsidP="00AE6837">
      <w:pPr>
        <w:spacing w:after="0" w:line="240" w:lineRule="auto"/>
        <w:rPr>
          <w:rFonts w:ascii="Ariel" w:hAnsi="Ariel"/>
          <w:sz w:val="24"/>
          <w:szCs w:val="24"/>
        </w:rPr>
      </w:pPr>
    </w:p>
    <w:p w14:paraId="7ED16E36" w14:textId="77777777" w:rsidR="002907A3" w:rsidRPr="00B263B8" w:rsidRDefault="002907A3" w:rsidP="00AE6837">
      <w:pPr>
        <w:spacing w:after="0" w:line="240" w:lineRule="auto"/>
        <w:rPr>
          <w:rFonts w:ascii="Ariel" w:hAnsi="Ariel"/>
          <w:sz w:val="24"/>
          <w:szCs w:val="24"/>
        </w:rPr>
      </w:pPr>
      <w:r w:rsidRPr="00B263B8">
        <w:rPr>
          <w:rFonts w:ascii="Ariel" w:hAnsi="Ariel"/>
          <w:sz w:val="24"/>
          <w:szCs w:val="24"/>
        </w:rPr>
        <w:t xml:space="preserve">These funds will be used to provide additional services, including support for Classroom and Employer-Based Funding.  No eligible jobseeker will be denied services based on the transfer of funds. </w:t>
      </w:r>
    </w:p>
    <w:p w14:paraId="437E1A7C" w14:textId="77777777" w:rsidR="002907A3" w:rsidRDefault="002907A3" w:rsidP="00AE6837">
      <w:pPr>
        <w:spacing w:after="0" w:line="240" w:lineRule="auto"/>
      </w:pPr>
    </w:p>
    <w:p w14:paraId="141AF407" w14:textId="77777777" w:rsidR="007267CB" w:rsidRPr="002907A3" w:rsidRDefault="007267CB" w:rsidP="00AE6837">
      <w:pPr>
        <w:spacing w:after="0" w:line="240" w:lineRule="auto"/>
        <w:rPr>
          <w:b/>
          <w:bCs/>
        </w:rPr>
      </w:pPr>
    </w:p>
    <w:sectPr w:rsidR="007267CB" w:rsidRPr="002907A3" w:rsidSect="00290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CCF9" w14:textId="77777777" w:rsidR="00EB250F" w:rsidRDefault="00EB250F" w:rsidP="002907A3">
      <w:pPr>
        <w:spacing w:after="0" w:line="240" w:lineRule="auto"/>
      </w:pPr>
      <w:r>
        <w:separator/>
      </w:r>
    </w:p>
  </w:endnote>
  <w:endnote w:type="continuationSeparator" w:id="0">
    <w:p w14:paraId="06EEDB53" w14:textId="77777777" w:rsidR="00EB250F" w:rsidRDefault="00EB250F" w:rsidP="0029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23F0" w14:textId="77777777" w:rsidR="00C24E79" w:rsidRDefault="00C24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CD1B" w14:textId="45F62512" w:rsidR="00D74F56" w:rsidRDefault="00D74F56">
    <w:pPr>
      <w:pStyle w:val="Footer"/>
    </w:pPr>
    <w:r>
      <w:tab/>
    </w:r>
    <w:r>
      <w:tab/>
      <w:t>BY202</w:t>
    </w:r>
    <w:r w:rsidR="002907A3">
      <w:t>4-04</w:t>
    </w:r>
    <w:r>
      <w:t xml:space="preserve"> – </w:t>
    </w:r>
    <w:r w:rsidR="00C24E79">
      <w:t>Pending</w:t>
    </w:r>
    <w:r>
      <w:t xml:space="preserve"> – </w:t>
    </w:r>
    <w:r w:rsidR="002907A3">
      <w:t>9/18/2024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93A6" w14:textId="77777777" w:rsidR="00C24E79" w:rsidRDefault="00C2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84BB" w14:textId="77777777" w:rsidR="00EB250F" w:rsidRDefault="00EB250F" w:rsidP="002907A3">
      <w:pPr>
        <w:spacing w:after="0" w:line="240" w:lineRule="auto"/>
      </w:pPr>
      <w:r>
        <w:separator/>
      </w:r>
    </w:p>
  </w:footnote>
  <w:footnote w:type="continuationSeparator" w:id="0">
    <w:p w14:paraId="3718BE1F" w14:textId="77777777" w:rsidR="00EB250F" w:rsidRDefault="00EB250F" w:rsidP="0029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9133" w14:textId="77777777" w:rsidR="00C24E79" w:rsidRDefault="00C24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5A2B" w14:textId="77777777" w:rsidR="00C24E79" w:rsidRDefault="00C24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9612B" w14:textId="77777777" w:rsidR="00C24E79" w:rsidRDefault="00C24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A3"/>
    <w:rsid w:val="000538D0"/>
    <w:rsid w:val="000F070E"/>
    <w:rsid w:val="00257AD7"/>
    <w:rsid w:val="002907A3"/>
    <w:rsid w:val="003C5A63"/>
    <w:rsid w:val="004807FB"/>
    <w:rsid w:val="004821E3"/>
    <w:rsid w:val="004E7036"/>
    <w:rsid w:val="005D3AB4"/>
    <w:rsid w:val="007267CB"/>
    <w:rsid w:val="009D3AC8"/>
    <w:rsid w:val="00A42E28"/>
    <w:rsid w:val="00AE6837"/>
    <w:rsid w:val="00B263B8"/>
    <w:rsid w:val="00C24E79"/>
    <w:rsid w:val="00C86969"/>
    <w:rsid w:val="00D74F56"/>
    <w:rsid w:val="00EB250F"/>
    <w:rsid w:val="00F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B1871"/>
  <w15:chartTrackingRefBased/>
  <w15:docId w15:val="{F3319B60-40E2-4337-A262-DA89BF1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A3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7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7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7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7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7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7A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7A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7A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7A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7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7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7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2907A3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29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A3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0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A3"/>
    <w:rPr>
      <w:rFonts w:ascii="Calibri" w:eastAsia="Times New Roman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664</Characters>
  <Application>Microsoft Office Word</Application>
  <DocSecurity>0</DocSecurity>
  <Lines>60</Lines>
  <Paragraphs>31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Pettit</dc:creator>
  <cp:keywords/>
  <dc:description/>
  <cp:lastModifiedBy>Heather Pettit</cp:lastModifiedBy>
  <cp:revision>11</cp:revision>
  <dcterms:created xsi:type="dcterms:W3CDTF">2024-09-11T12:41:00Z</dcterms:created>
  <dcterms:modified xsi:type="dcterms:W3CDTF">2024-09-30T16:07:00Z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0edc87c6-bd8b-4c77-afa7-5ddedcfd41b5</vt:lpwstr>
  </property>
</Properties>
</file>