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0D5C" w14:textId="7BFF71E5" w:rsidR="00BB1B3F" w:rsidRDefault="00C542F8" w:rsidP="00A56D8A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FF4D" wp14:editId="731DDA8C">
                <wp:simplePos x="0" y="0"/>
                <wp:positionH relativeFrom="column">
                  <wp:posOffset>-1123951</wp:posOffset>
                </wp:positionH>
                <wp:positionV relativeFrom="paragraph">
                  <wp:posOffset>142875</wp:posOffset>
                </wp:positionV>
                <wp:extent cx="7743825" cy="0"/>
                <wp:effectExtent l="38100" t="38100" r="66675" b="95250"/>
                <wp:wrapNone/>
                <wp:docPr id="500300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D08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5pt,11.25pt" to="52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3DEA889" w14:textId="77777777" w:rsidR="00A56D8A" w:rsidRDefault="00A56D8A" w:rsidP="00A56D8A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5F8E255D" w14:textId="77777777" w:rsidR="00BB1B3F" w:rsidRDefault="00BB1B3F" w:rsidP="00C20B8A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74490F17" w14:textId="38A9A791" w:rsidR="001278D6" w:rsidRPr="00BB1B3F" w:rsidRDefault="00263B2D" w:rsidP="00C20B8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B1B3F">
        <w:rPr>
          <w:rFonts w:asciiTheme="majorHAnsi" w:hAnsiTheme="majorHAnsi" w:cstheme="majorHAnsi"/>
          <w:sz w:val="24"/>
          <w:szCs w:val="24"/>
        </w:rPr>
        <w:t>Policy Title: Supportive Services</w:t>
      </w:r>
      <w:r w:rsidR="0066372F" w:rsidRPr="00BB1B3F">
        <w:rPr>
          <w:rFonts w:asciiTheme="majorHAnsi" w:hAnsiTheme="majorHAnsi" w:cstheme="majorHAnsi"/>
          <w:sz w:val="24"/>
          <w:szCs w:val="24"/>
        </w:rPr>
        <w:t xml:space="preserve"> and Youth Incentive </w:t>
      </w:r>
      <w:r w:rsidRPr="00BB1B3F">
        <w:rPr>
          <w:rFonts w:asciiTheme="majorHAnsi" w:hAnsiTheme="majorHAnsi" w:cstheme="majorHAnsi"/>
          <w:sz w:val="24"/>
          <w:szCs w:val="24"/>
        </w:rPr>
        <w:t xml:space="preserve"> Policy</w:t>
      </w:r>
    </w:p>
    <w:p w14:paraId="4CBCF00C" w14:textId="2E42A62C" w:rsidR="001278D6" w:rsidRPr="00BB1B3F" w:rsidRDefault="00263B2D" w:rsidP="00C20B8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B1B3F">
        <w:rPr>
          <w:rFonts w:asciiTheme="majorHAnsi" w:hAnsiTheme="majorHAnsi" w:cstheme="majorHAnsi"/>
          <w:sz w:val="24"/>
          <w:szCs w:val="24"/>
        </w:rPr>
        <w:t>Policy Number:</w:t>
      </w:r>
    </w:p>
    <w:p w14:paraId="0751D9B9" w14:textId="6C2833D0" w:rsidR="001278D6" w:rsidRPr="00BB1B3F" w:rsidRDefault="00263B2D" w:rsidP="00C20B8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B1B3F">
        <w:rPr>
          <w:rFonts w:asciiTheme="majorHAnsi" w:hAnsiTheme="majorHAnsi" w:cstheme="majorHAnsi"/>
          <w:sz w:val="24"/>
          <w:szCs w:val="24"/>
        </w:rPr>
        <w:t xml:space="preserve">Supersedes: </w:t>
      </w:r>
      <w:r w:rsidR="00C20B8A" w:rsidRPr="00BB1B3F">
        <w:rPr>
          <w:rFonts w:asciiTheme="majorHAnsi" w:hAnsiTheme="majorHAnsi" w:cstheme="majorHAnsi"/>
          <w:sz w:val="24"/>
          <w:szCs w:val="24"/>
        </w:rPr>
        <w:t xml:space="preserve">BY 2022-06, BY 2018-12, </w:t>
      </w:r>
      <w:r w:rsidRPr="00BB1B3F">
        <w:rPr>
          <w:rFonts w:asciiTheme="majorHAnsi" w:hAnsiTheme="majorHAnsi" w:cstheme="majorHAnsi"/>
          <w:sz w:val="24"/>
          <w:szCs w:val="24"/>
        </w:rPr>
        <w:t>BY 2016-07, BY 2016-08, BY 2016-09, BY 2015-15, and BY 2015-19</w:t>
      </w:r>
    </w:p>
    <w:p w14:paraId="6A1A4E1E" w14:textId="77777777" w:rsidR="001278D6" w:rsidRPr="00BB1B3F" w:rsidRDefault="00263B2D" w:rsidP="00C20B8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B1B3F">
        <w:rPr>
          <w:rFonts w:asciiTheme="majorHAnsi" w:hAnsiTheme="majorHAnsi" w:cstheme="majorHAnsi"/>
          <w:sz w:val="24"/>
          <w:szCs w:val="24"/>
        </w:rPr>
        <w:t>Authorized By: Executive Director, FMS Workforce Development Board</w:t>
      </w:r>
    </w:p>
    <w:p w14:paraId="36BE2CE5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0E33D2C8" w14:textId="38CD29BB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Purpose</w:t>
      </w:r>
    </w:p>
    <w:p w14:paraId="7529FC20" w14:textId="748E3C42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To provide guidance on the provision of supportive services under the Workforce Innovation and Opportunity Act (WIOA) Title I Adult, Dislocated Worker, and Youth programs. Supportive services are designed to eliminate barriers to program participation and employment success.</w:t>
      </w:r>
      <w:r w:rsidR="00C57C5B" w:rsidRPr="008172CD">
        <w:rPr>
          <w:rFonts w:asciiTheme="majorHAnsi" w:hAnsiTheme="majorHAnsi" w:cstheme="majorHAnsi"/>
        </w:rPr>
        <w:t xml:space="preserve"> </w:t>
      </w:r>
    </w:p>
    <w:p w14:paraId="4746BD4C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66BA3DAD" w14:textId="6A332607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Scope</w:t>
      </w:r>
    </w:p>
    <w:p w14:paraId="11DCFEFA" w14:textId="52FCA1D5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This policy applies to all WIOA Title I service providers operating</w:t>
      </w:r>
      <w:r w:rsidR="00DA4C8D" w:rsidRPr="008172CD">
        <w:rPr>
          <w:rFonts w:asciiTheme="majorHAnsi" w:hAnsiTheme="majorHAnsi" w:cstheme="majorHAnsi"/>
        </w:rPr>
        <w:t xml:space="preserve"> </w:t>
      </w:r>
      <w:r w:rsidRPr="008172CD">
        <w:rPr>
          <w:rFonts w:asciiTheme="majorHAnsi" w:hAnsiTheme="majorHAnsi" w:cstheme="majorHAnsi"/>
        </w:rPr>
        <w:t>in Fulton, Montgomery, and Schoharie Counties.</w:t>
      </w:r>
    </w:p>
    <w:p w14:paraId="415DC0CF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662E6A3A" w14:textId="7FD8F5E1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Policy Statement</w:t>
      </w:r>
    </w:p>
    <w:p w14:paraId="1DAE0FC2" w14:textId="1CC3BE9C" w:rsidR="001278D6" w:rsidRPr="008172CD" w:rsidRDefault="001D16EB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Supportive services </w:t>
      </w:r>
      <w:r w:rsidR="00E952E4" w:rsidRPr="008172CD">
        <w:rPr>
          <w:rFonts w:asciiTheme="majorHAnsi" w:hAnsiTheme="majorHAnsi" w:cstheme="majorHAnsi"/>
        </w:rPr>
        <w:t xml:space="preserve">are services that are necessary to enable an individual </w:t>
      </w:r>
      <w:r w:rsidR="00C151DF" w:rsidRPr="008172CD">
        <w:rPr>
          <w:rFonts w:asciiTheme="majorHAnsi" w:hAnsiTheme="majorHAnsi" w:cstheme="majorHAnsi"/>
        </w:rPr>
        <w:t xml:space="preserve">to </w:t>
      </w:r>
      <w:r w:rsidR="00E952E4" w:rsidRPr="008172CD">
        <w:rPr>
          <w:rFonts w:asciiTheme="majorHAnsi" w:hAnsiTheme="majorHAnsi" w:cstheme="majorHAnsi"/>
        </w:rPr>
        <w:t xml:space="preserve">participate in activities </w:t>
      </w:r>
      <w:r w:rsidR="002C511B" w:rsidRPr="008172CD">
        <w:rPr>
          <w:rFonts w:asciiTheme="majorHAnsi" w:hAnsiTheme="majorHAnsi" w:cstheme="majorHAnsi"/>
        </w:rPr>
        <w:t>authorized</w:t>
      </w:r>
      <w:r w:rsidR="00E952E4" w:rsidRPr="008172CD">
        <w:rPr>
          <w:rFonts w:asciiTheme="majorHAnsi" w:hAnsiTheme="majorHAnsi" w:cstheme="majorHAnsi"/>
        </w:rPr>
        <w:t xml:space="preserve"> under WIOA</w:t>
      </w:r>
      <w:r w:rsidR="00D410EE" w:rsidRPr="008172CD">
        <w:rPr>
          <w:rFonts w:asciiTheme="majorHAnsi" w:hAnsiTheme="majorHAnsi" w:cstheme="majorHAnsi"/>
        </w:rPr>
        <w:t>.</w:t>
      </w:r>
      <w:r w:rsidRPr="008172CD">
        <w:rPr>
          <w:rFonts w:asciiTheme="majorHAnsi" w:hAnsiTheme="majorHAnsi" w:cstheme="majorHAnsi"/>
        </w:rPr>
        <w:t xml:space="preserve"> </w:t>
      </w:r>
      <w:r w:rsidR="00263B2D" w:rsidRPr="008172CD">
        <w:rPr>
          <w:rFonts w:asciiTheme="majorHAnsi" w:hAnsiTheme="majorHAnsi" w:cstheme="majorHAnsi"/>
        </w:rPr>
        <w:t xml:space="preserve">Supportive services may </w:t>
      </w:r>
      <w:r w:rsidR="00043774" w:rsidRPr="008172CD">
        <w:rPr>
          <w:rFonts w:asciiTheme="majorHAnsi" w:hAnsiTheme="majorHAnsi" w:cstheme="majorHAnsi"/>
        </w:rPr>
        <w:t xml:space="preserve">only </w:t>
      </w:r>
      <w:r w:rsidR="00263B2D" w:rsidRPr="008172CD">
        <w:rPr>
          <w:rFonts w:asciiTheme="majorHAnsi" w:hAnsiTheme="majorHAnsi" w:cstheme="majorHAnsi"/>
        </w:rPr>
        <w:t xml:space="preserve">be provided </w:t>
      </w:r>
      <w:r w:rsidR="0031694C" w:rsidRPr="008172CD">
        <w:rPr>
          <w:rFonts w:asciiTheme="majorHAnsi" w:hAnsiTheme="majorHAnsi" w:cstheme="majorHAnsi"/>
        </w:rPr>
        <w:t>to individuals</w:t>
      </w:r>
      <w:r w:rsidR="00263B2D" w:rsidRPr="008172CD">
        <w:rPr>
          <w:rFonts w:asciiTheme="majorHAnsi" w:hAnsiTheme="majorHAnsi" w:cstheme="majorHAnsi"/>
        </w:rPr>
        <w:t xml:space="preserve"> who:</w:t>
      </w:r>
    </w:p>
    <w:p w14:paraId="399F5367" w14:textId="460DF033" w:rsidR="001278D6" w:rsidRPr="008172CD" w:rsidRDefault="00263B2D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Are actively engaged in WIOA Title I services</w:t>
      </w:r>
      <w:r w:rsidR="00B41591" w:rsidRPr="008172CD">
        <w:rPr>
          <w:rFonts w:asciiTheme="majorHAnsi" w:hAnsiTheme="majorHAnsi" w:cstheme="majorHAnsi"/>
        </w:rPr>
        <w:t>, including Youth, Career, and Training services</w:t>
      </w:r>
      <w:r w:rsidR="00C20B8A" w:rsidRPr="008172CD">
        <w:rPr>
          <w:rFonts w:asciiTheme="majorHAnsi" w:hAnsiTheme="majorHAnsi" w:cstheme="majorHAnsi"/>
        </w:rPr>
        <w:t>.</w:t>
      </w:r>
    </w:p>
    <w:p w14:paraId="304F6CA9" w14:textId="338321D1" w:rsidR="001278D6" w:rsidRPr="008172CD" w:rsidRDefault="00263B2D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Have a documented need for assistance not met through other community resources.</w:t>
      </w:r>
    </w:p>
    <w:p w14:paraId="72086BDA" w14:textId="7D6CA9B2" w:rsidR="001278D6" w:rsidRPr="008172CD" w:rsidRDefault="00263B2D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Reside in Fulton, Montgomery, or Schoharie Counties.</w:t>
      </w:r>
    </w:p>
    <w:p w14:paraId="481E8FF1" w14:textId="3239D890" w:rsidR="001278D6" w:rsidRPr="008172CD" w:rsidRDefault="00263B2D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Are registered in the One-Stop Operating System (OSOS).</w:t>
      </w:r>
    </w:p>
    <w:p w14:paraId="6D2A374E" w14:textId="77777777" w:rsidR="00C80029" w:rsidRPr="008172CD" w:rsidRDefault="00C80029" w:rsidP="008172CD">
      <w:pPr>
        <w:spacing w:after="0" w:line="240" w:lineRule="auto"/>
        <w:rPr>
          <w:rFonts w:asciiTheme="majorHAnsi" w:hAnsiTheme="majorHAnsi" w:cstheme="majorHAnsi"/>
        </w:rPr>
      </w:pPr>
    </w:p>
    <w:p w14:paraId="5784F33B" w14:textId="44AE48C3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Eligible supportive services </w:t>
      </w:r>
      <w:r w:rsidR="00043774" w:rsidRPr="008172CD">
        <w:rPr>
          <w:rFonts w:asciiTheme="majorHAnsi" w:hAnsiTheme="majorHAnsi" w:cstheme="majorHAnsi"/>
        </w:rPr>
        <w:t xml:space="preserve">may </w:t>
      </w:r>
      <w:r w:rsidRPr="008172CD">
        <w:rPr>
          <w:rFonts w:asciiTheme="majorHAnsi" w:hAnsiTheme="majorHAnsi" w:cstheme="majorHAnsi"/>
        </w:rPr>
        <w:t>include</w:t>
      </w:r>
      <w:r w:rsidR="00043774" w:rsidRPr="008172CD">
        <w:rPr>
          <w:rFonts w:asciiTheme="majorHAnsi" w:hAnsiTheme="majorHAnsi" w:cstheme="majorHAnsi"/>
        </w:rPr>
        <w:t>, but are not limited to, the following</w:t>
      </w:r>
      <w:r w:rsidRPr="008172CD">
        <w:rPr>
          <w:rFonts w:asciiTheme="majorHAnsi" w:hAnsiTheme="majorHAnsi" w:cstheme="majorHAnsi"/>
        </w:rPr>
        <w:t>:</w:t>
      </w:r>
    </w:p>
    <w:p w14:paraId="2008CE22" w14:textId="3B8BF2B2" w:rsidR="00043774" w:rsidRPr="008172CD" w:rsidRDefault="00043774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Linkages to community services; </w:t>
      </w:r>
    </w:p>
    <w:p w14:paraId="227400BE" w14:textId="38C12BF3" w:rsidR="001278D6" w:rsidRPr="008172CD" w:rsidRDefault="00043774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Assistance with t</w:t>
      </w:r>
      <w:r w:rsidR="00263B2D" w:rsidRPr="008172CD">
        <w:rPr>
          <w:rFonts w:asciiTheme="majorHAnsi" w:hAnsiTheme="majorHAnsi" w:cstheme="majorHAnsi"/>
        </w:rPr>
        <w:t>ransportation</w:t>
      </w:r>
      <w:r w:rsidRPr="008172CD">
        <w:rPr>
          <w:rFonts w:asciiTheme="majorHAnsi" w:hAnsiTheme="majorHAnsi" w:cstheme="majorHAnsi"/>
        </w:rPr>
        <w:t>;</w:t>
      </w:r>
    </w:p>
    <w:p w14:paraId="574D387D" w14:textId="2FA99DDF" w:rsidR="001278D6" w:rsidRPr="008172CD" w:rsidRDefault="00043774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Assistance with c</w:t>
      </w:r>
      <w:r w:rsidR="00263B2D" w:rsidRPr="008172CD">
        <w:rPr>
          <w:rFonts w:asciiTheme="majorHAnsi" w:hAnsiTheme="majorHAnsi" w:cstheme="majorHAnsi"/>
        </w:rPr>
        <w:t>hildcare and dependent care</w:t>
      </w:r>
      <w:r w:rsidRPr="008172CD">
        <w:rPr>
          <w:rFonts w:asciiTheme="majorHAnsi" w:hAnsiTheme="majorHAnsi" w:cstheme="majorHAnsi"/>
        </w:rPr>
        <w:t>;</w:t>
      </w:r>
    </w:p>
    <w:p w14:paraId="487CE77B" w14:textId="2422D9EB" w:rsidR="001278D6" w:rsidRPr="008172CD" w:rsidRDefault="00043774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</w:t>
      </w:r>
      <w:r w:rsidR="00263B2D" w:rsidRPr="008172CD">
        <w:rPr>
          <w:rFonts w:asciiTheme="majorHAnsi" w:hAnsiTheme="majorHAnsi" w:cstheme="majorHAnsi"/>
        </w:rPr>
        <w:t>ssistance</w:t>
      </w:r>
      <w:r w:rsidRPr="008172CD">
        <w:rPr>
          <w:rFonts w:asciiTheme="majorHAnsi" w:hAnsiTheme="majorHAnsi" w:cstheme="majorHAnsi"/>
        </w:rPr>
        <w:t xml:space="preserve"> with housing;</w:t>
      </w:r>
    </w:p>
    <w:p w14:paraId="3F7BD610" w14:textId="3D2D711F" w:rsidR="009645E1" w:rsidRPr="008172CD" w:rsidRDefault="009645E1" w:rsidP="00817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Needs-related payments</w:t>
      </w:r>
      <w:r w:rsidR="00A33BFD" w:rsidRPr="008172CD">
        <w:rPr>
          <w:rFonts w:asciiTheme="majorHAnsi" w:hAnsiTheme="majorHAnsi" w:cstheme="majorHAnsi"/>
        </w:rPr>
        <w:t>;</w:t>
      </w:r>
    </w:p>
    <w:p w14:paraId="168D09B7" w14:textId="525AA130" w:rsidR="008C0330" w:rsidRPr="008172CD" w:rsidRDefault="008C0330" w:rsidP="008172CD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While in</w:t>
      </w:r>
      <w:r w:rsidR="006D162A" w:rsidRPr="008172CD">
        <w:rPr>
          <w:rFonts w:asciiTheme="majorHAnsi" w:hAnsiTheme="majorHAnsi" w:cstheme="majorHAnsi"/>
        </w:rPr>
        <w:t xml:space="preserve"> training full-time</w:t>
      </w:r>
    </w:p>
    <w:p w14:paraId="6B60EA23" w14:textId="1FC4B470" w:rsidR="00A33BFD" w:rsidRPr="008172CD" w:rsidRDefault="00335376" w:rsidP="008172CD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see </w:t>
      </w:r>
      <w:r w:rsidR="00024C28" w:rsidRPr="008172CD">
        <w:rPr>
          <w:rFonts w:asciiTheme="majorHAnsi" w:hAnsiTheme="majorHAnsi" w:cstheme="majorHAnsi"/>
        </w:rPr>
        <w:t>policy BY-2015-16</w:t>
      </w:r>
      <w:r w:rsidR="00A33BFD" w:rsidRPr="008172CD">
        <w:rPr>
          <w:rFonts w:asciiTheme="majorHAnsi" w:hAnsiTheme="majorHAnsi" w:cstheme="majorHAnsi"/>
        </w:rPr>
        <w:t xml:space="preserve"> for </w:t>
      </w:r>
      <w:r w:rsidR="00D7790B" w:rsidRPr="008172CD">
        <w:rPr>
          <w:rFonts w:asciiTheme="majorHAnsi" w:hAnsiTheme="majorHAnsi" w:cstheme="majorHAnsi"/>
        </w:rPr>
        <w:t>Adult &amp; DW</w:t>
      </w:r>
    </w:p>
    <w:p w14:paraId="7AC92BE0" w14:textId="73EAE29C" w:rsidR="001278D6" w:rsidRPr="008172CD" w:rsidRDefault="00043774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Assistance with e</w:t>
      </w:r>
      <w:r w:rsidR="00263B2D" w:rsidRPr="008172CD">
        <w:rPr>
          <w:rFonts w:asciiTheme="majorHAnsi" w:hAnsiTheme="majorHAnsi" w:cstheme="majorHAnsi"/>
        </w:rPr>
        <w:t>ducational testing</w:t>
      </w:r>
      <w:r w:rsidRPr="008172CD">
        <w:rPr>
          <w:rFonts w:asciiTheme="majorHAnsi" w:hAnsiTheme="majorHAnsi" w:cstheme="majorHAnsi"/>
        </w:rPr>
        <w:t>;</w:t>
      </w:r>
      <w:r w:rsidR="00263B2D" w:rsidRPr="008172CD">
        <w:rPr>
          <w:rFonts w:asciiTheme="majorHAnsi" w:hAnsiTheme="majorHAnsi" w:cstheme="majorHAnsi"/>
        </w:rPr>
        <w:t xml:space="preserve"> </w:t>
      </w:r>
    </w:p>
    <w:p w14:paraId="29537182" w14:textId="588288BB" w:rsidR="00056728" w:rsidRPr="008172CD" w:rsidRDefault="00056728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Reasonable accommodations for </w:t>
      </w:r>
      <w:r w:rsidR="00E333DD" w:rsidRPr="008172CD">
        <w:rPr>
          <w:rFonts w:asciiTheme="majorHAnsi" w:hAnsiTheme="majorHAnsi" w:cstheme="majorHAnsi"/>
        </w:rPr>
        <w:t>individuals</w:t>
      </w:r>
      <w:r w:rsidRPr="008172CD">
        <w:rPr>
          <w:rFonts w:asciiTheme="majorHAnsi" w:hAnsiTheme="majorHAnsi" w:cstheme="majorHAnsi"/>
        </w:rPr>
        <w:t xml:space="preserve"> with disabilities</w:t>
      </w:r>
      <w:r w:rsidR="00E333DD" w:rsidRPr="008172CD">
        <w:rPr>
          <w:rFonts w:asciiTheme="majorHAnsi" w:hAnsiTheme="majorHAnsi" w:cstheme="majorHAnsi"/>
        </w:rPr>
        <w:t>;</w:t>
      </w:r>
    </w:p>
    <w:p w14:paraId="12A53A8C" w14:textId="6F1948DD" w:rsidR="001278D6" w:rsidRPr="008172CD" w:rsidRDefault="00043774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Assistance with uniforms or other appropriate work attire and work-related tools;</w:t>
      </w:r>
    </w:p>
    <w:p w14:paraId="67C3BE3C" w14:textId="5C29868E" w:rsidR="001278D6" w:rsidRPr="008172CD" w:rsidRDefault="00043774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Assistance with b</w:t>
      </w:r>
      <w:r w:rsidR="00263B2D" w:rsidRPr="008172CD">
        <w:rPr>
          <w:rFonts w:asciiTheme="majorHAnsi" w:hAnsiTheme="majorHAnsi" w:cstheme="majorHAnsi"/>
        </w:rPr>
        <w:t>ooks</w:t>
      </w:r>
      <w:r w:rsidRPr="008172CD">
        <w:rPr>
          <w:rFonts w:asciiTheme="majorHAnsi" w:hAnsiTheme="majorHAnsi" w:cstheme="majorHAnsi"/>
        </w:rPr>
        <w:t xml:space="preserve">, </w:t>
      </w:r>
      <w:r w:rsidR="000715D8" w:rsidRPr="008172CD">
        <w:rPr>
          <w:rFonts w:asciiTheme="majorHAnsi" w:hAnsiTheme="majorHAnsi" w:cstheme="majorHAnsi"/>
        </w:rPr>
        <w:t>fees, school</w:t>
      </w:r>
      <w:r w:rsidR="00263B2D" w:rsidRPr="008172CD">
        <w:rPr>
          <w:rFonts w:asciiTheme="majorHAnsi" w:hAnsiTheme="majorHAnsi" w:cstheme="majorHAnsi"/>
        </w:rPr>
        <w:t xml:space="preserve"> supplies</w:t>
      </w:r>
      <w:r w:rsidRPr="008172CD">
        <w:rPr>
          <w:rFonts w:asciiTheme="majorHAnsi" w:hAnsiTheme="majorHAnsi" w:cstheme="majorHAnsi"/>
        </w:rPr>
        <w:t>, and other necessary items for students enrolled in postsecondary education classes;</w:t>
      </w:r>
    </w:p>
    <w:p w14:paraId="5B65F889" w14:textId="569FFCD9" w:rsidR="001278D6" w:rsidRPr="008172CD" w:rsidRDefault="00263B2D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Legal aid and health care referrals</w:t>
      </w:r>
      <w:r w:rsidR="00043774" w:rsidRPr="008172CD">
        <w:rPr>
          <w:rFonts w:asciiTheme="majorHAnsi" w:hAnsiTheme="majorHAnsi" w:cstheme="majorHAnsi"/>
        </w:rPr>
        <w:t xml:space="preserve">; </w:t>
      </w:r>
    </w:p>
    <w:p w14:paraId="2BFEF3EF" w14:textId="041B3BF1" w:rsidR="002104E7" w:rsidRPr="008172CD" w:rsidRDefault="00043774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Payments and fees for employment and training-related applications, tests, and certifications</w:t>
      </w:r>
      <w:r w:rsidR="00C20B8A" w:rsidRPr="008172CD">
        <w:rPr>
          <w:rFonts w:asciiTheme="majorHAnsi" w:hAnsiTheme="majorHAnsi" w:cstheme="majorHAnsi"/>
        </w:rPr>
        <w:t>.</w:t>
      </w:r>
    </w:p>
    <w:p w14:paraId="45A51D9E" w14:textId="30C290D1" w:rsidR="008172CD" w:rsidRPr="008172CD" w:rsidRDefault="00926E07" w:rsidP="008172CD">
      <w:pPr>
        <w:pStyle w:val="Heading2"/>
        <w:spacing w:before="0" w:line="240" w:lineRule="auto"/>
        <w:rPr>
          <w:rFonts w:cstheme="majorHAnsi"/>
          <w:color w:val="auto"/>
        </w:rPr>
      </w:pPr>
      <w:r>
        <w:rPr>
          <w:rFonts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D10CA" wp14:editId="70878140">
                <wp:simplePos x="0" y="0"/>
                <wp:positionH relativeFrom="page">
                  <wp:align>left</wp:align>
                </wp:positionH>
                <wp:positionV relativeFrom="paragraph">
                  <wp:posOffset>143510</wp:posOffset>
                </wp:positionV>
                <wp:extent cx="7743825" cy="0"/>
                <wp:effectExtent l="38100" t="38100" r="66675" b="95250"/>
                <wp:wrapNone/>
                <wp:docPr id="1596675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A44F7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1.3pt" to="609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079CD721" w14:textId="74991B8B" w:rsidR="00BB1B3F" w:rsidRDefault="00BB1B3F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1CC39790" w14:textId="60967895" w:rsidR="00B17AD2" w:rsidRPr="008172CD" w:rsidRDefault="00B17AD2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 xml:space="preserve">Incentive </w:t>
      </w:r>
      <w:r w:rsidR="00B668C6" w:rsidRPr="008172CD">
        <w:rPr>
          <w:rFonts w:cstheme="majorHAnsi"/>
          <w:color w:val="auto"/>
        </w:rPr>
        <w:t>P</w:t>
      </w:r>
      <w:r w:rsidRPr="008172CD">
        <w:rPr>
          <w:rFonts w:cstheme="majorHAnsi"/>
          <w:color w:val="auto"/>
        </w:rPr>
        <w:t>ayments</w:t>
      </w:r>
      <w:r w:rsidR="00C94868" w:rsidRPr="008172CD">
        <w:rPr>
          <w:rFonts w:cstheme="majorHAnsi"/>
          <w:color w:val="auto"/>
        </w:rPr>
        <w:t xml:space="preserve"> to</w:t>
      </w:r>
      <w:r w:rsidR="00C20B8A" w:rsidRPr="008172CD">
        <w:rPr>
          <w:rFonts w:cstheme="majorHAnsi"/>
          <w:color w:val="auto"/>
        </w:rPr>
        <w:t xml:space="preserve"> </w:t>
      </w:r>
      <w:r w:rsidR="00C94868" w:rsidRPr="008172CD">
        <w:rPr>
          <w:rFonts w:cstheme="majorHAnsi"/>
          <w:color w:val="auto"/>
        </w:rPr>
        <w:t>WIOA Youth</w:t>
      </w:r>
      <w:r w:rsidR="00A3519E" w:rsidRPr="008172CD">
        <w:rPr>
          <w:rFonts w:cstheme="majorHAnsi"/>
          <w:color w:val="auto"/>
        </w:rPr>
        <w:t xml:space="preserve"> (only)</w:t>
      </w:r>
    </w:p>
    <w:p w14:paraId="23844AF6" w14:textId="101E6307" w:rsidR="00FE721F" w:rsidRPr="008172CD" w:rsidRDefault="00FE721F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Incentive payments t</w:t>
      </w:r>
      <w:r w:rsidR="0080335B" w:rsidRPr="008172CD">
        <w:rPr>
          <w:rFonts w:asciiTheme="majorHAnsi" w:hAnsiTheme="majorHAnsi" w:cstheme="majorHAnsi"/>
        </w:rPr>
        <w:t xml:space="preserve">o WIOA-enrolled </w:t>
      </w:r>
      <w:r w:rsidRPr="008172CD">
        <w:rPr>
          <w:rFonts w:asciiTheme="majorHAnsi" w:hAnsiTheme="majorHAnsi" w:cstheme="majorHAnsi"/>
        </w:rPr>
        <w:t xml:space="preserve">youth participants are permitted for recognition and achievement directly tied to training activities and work experiences.  </w:t>
      </w:r>
      <w:r w:rsidR="00102941" w:rsidRPr="008172CD">
        <w:rPr>
          <w:rFonts w:asciiTheme="majorHAnsi" w:hAnsiTheme="majorHAnsi" w:cstheme="majorHAnsi"/>
        </w:rPr>
        <w:t>I</w:t>
      </w:r>
      <w:r w:rsidRPr="008172CD">
        <w:rPr>
          <w:rFonts w:asciiTheme="majorHAnsi" w:hAnsiTheme="majorHAnsi" w:cstheme="majorHAnsi"/>
        </w:rPr>
        <w:t xml:space="preserve">ncentive payments </w:t>
      </w:r>
      <w:r w:rsidR="00102941" w:rsidRPr="008172CD">
        <w:rPr>
          <w:rFonts w:asciiTheme="majorHAnsi" w:hAnsiTheme="majorHAnsi" w:cstheme="majorHAnsi"/>
        </w:rPr>
        <w:t xml:space="preserve">must </w:t>
      </w:r>
      <w:r w:rsidR="00A25B05" w:rsidRPr="008172CD">
        <w:rPr>
          <w:rFonts w:asciiTheme="majorHAnsi" w:hAnsiTheme="majorHAnsi" w:cstheme="majorHAnsi"/>
        </w:rPr>
        <w:t xml:space="preserve">be </w:t>
      </w:r>
      <w:r w:rsidR="008D2F5A" w:rsidRPr="008172CD">
        <w:rPr>
          <w:rFonts w:asciiTheme="majorHAnsi" w:hAnsiTheme="majorHAnsi" w:cstheme="majorHAnsi"/>
        </w:rPr>
        <w:t>t</w:t>
      </w:r>
      <w:r w:rsidRPr="008172CD">
        <w:rPr>
          <w:rFonts w:asciiTheme="majorHAnsi" w:hAnsiTheme="majorHAnsi" w:cstheme="majorHAnsi"/>
        </w:rPr>
        <w:t xml:space="preserve">ied to the </w:t>
      </w:r>
      <w:r w:rsidR="00304C5B" w:rsidRPr="008172CD">
        <w:rPr>
          <w:rFonts w:asciiTheme="majorHAnsi" w:hAnsiTheme="majorHAnsi" w:cstheme="majorHAnsi"/>
        </w:rPr>
        <w:t>program's goals and</w:t>
      </w:r>
      <w:r w:rsidR="00CE27FC" w:rsidRPr="008172CD">
        <w:rPr>
          <w:rFonts w:asciiTheme="majorHAnsi" w:hAnsiTheme="majorHAnsi" w:cstheme="majorHAnsi"/>
        </w:rPr>
        <w:t xml:space="preserve"> </w:t>
      </w:r>
      <w:r w:rsidR="004B2B17" w:rsidRPr="008172CD">
        <w:rPr>
          <w:rFonts w:asciiTheme="majorHAnsi" w:hAnsiTheme="majorHAnsi" w:cstheme="majorHAnsi"/>
        </w:rPr>
        <w:t xml:space="preserve">clearly </w:t>
      </w:r>
      <w:r w:rsidR="00CE27FC" w:rsidRPr="008172CD">
        <w:rPr>
          <w:rFonts w:asciiTheme="majorHAnsi" w:hAnsiTheme="majorHAnsi" w:cstheme="majorHAnsi"/>
        </w:rPr>
        <w:t>o</w:t>
      </w:r>
      <w:r w:rsidRPr="008172CD">
        <w:rPr>
          <w:rFonts w:asciiTheme="majorHAnsi" w:hAnsiTheme="majorHAnsi" w:cstheme="majorHAnsi"/>
        </w:rPr>
        <w:t xml:space="preserve">utlined </w:t>
      </w:r>
      <w:r w:rsidR="00C20B8A" w:rsidRPr="008172CD">
        <w:rPr>
          <w:rFonts w:asciiTheme="majorHAnsi" w:hAnsiTheme="majorHAnsi" w:cstheme="majorHAnsi"/>
        </w:rPr>
        <w:t xml:space="preserve">in the individual service strategy. </w:t>
      </w:r>
      <w:r w:rsidR="00843400" w:rsidRPr="008172CD">
        <w:rPr>
          <w:rFonts w:asciiTheme="majorHAnsi" w:hAnsiTheme="majorHAnsi" w:cstheme="majorHAnsi"/>
        </w:rPr>
        <w:t xml:space="preserve"> </w:t>
      </w:r>
    </w:p>
    <w:p w14:paraId="71FC7975" w14:textId="77777777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Funding Limits</w:t>
      </w:r>
    </w:p>
    <w:p w14:paraId="2DF34BE8" w14:textId="79BA2A34" w:rsidR="00EC5273" w:rsidRPr="008172CD" w:rsidRDefault="003B4130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A maximum </w:t>
      </w:r>
      <w:r w:rsidR="00E63329" w:rsidRPr="008172CD">
        <w:rPr>
          <w:rFonts w:asciiTheme="majorHAnsi" w:hAnsiTheme="majorHAnsi" w:cstheme="majorHAnsi"/>
        </w:rPr>
        <w:t>of $</w:t>
      </w:r>
      <w:r w:rsidR="002104E7" w:rsidRPr="008172CD">
        <w:rPr>
          <w:rFonts w:asciiTheme="majorHAnsi" w:hAnsiTheme="majorHAnsi" w:cstheme="majorHAnsi"/>
        </w:rPr>
        <w:t>5</w:t>
      </w:r>
      <w:r w:rsidR="00263B2D" w:rsidRPr="008172CD">
        <w:rPr>
          <w:rFonts w:asciiTheme="majorHAnsi" w:hAnsiTheme="majorHAnsi" w:cstheme="majorHAnsi"/>
        </w:rPr>
        <w:t>,000 per participant</w:t>
      </w:r>
      <w:r w:rsidR="00C44FBB" w:rsidRPr="008172CD">
        <w:rPr>
          <w:rFonts w:asciiTheme="majorHAnsi" w:hAnsiTheme="majorHAnsi" w:cstheme="majorHAnsi"/>
        </w:rPr>
        <w:t>,</w:t>
      </w:r>
      <w:r w:rsidR="00263B2D" w:rsidRPr="008172CD">
        <w:rPr>
          <w:rFonts w:asciiTheme="majorHAnsi" w:hAnsiTheme="majorHAnsi" w:cstheme="majorHAnsi"/>
        </w:rPr>
        <w:t xml:space="preserve"> per program year</w:t>
      </w:r>
      <w:r w:rsidR="00654CE8" w:rsidRPr="008172CD">
        <w:rPr>
          <w:rFonts w:asciiTheme="majorHAnsi" w:hAnsiTheme="majorHAnsi" w:cstheme="majorHAnsi"/>
        </w:rPr>
        <w:t xml:space="preserve"> may be provided</w:t>
      </w:r>
      <w:r w:rsidR="00C44FBB" w:rsidRPr="008172CD">
        <w:rPr>
          <w:rFonts w:asciiTheme="majorHAnsi" w:hAnsiTheme="majorHAnsi" w:cstheme="majorHAnsi"/>
        </w:rPr>
        <w:t xml:space="preserve"> for supportive services</w:t>
      </w:r>
      <w:r w:rsidR="00CD46B1" w:rsidRPr="008172CD">
        <w:rPr>
          <w:rFonts w:asciiTheme="majorHAnsi" w:hAnsiTheme="majorHAnsi" w:cstheme="majorHAnsi"/>
        </w:rPr>
        <w:t xml:space="preserve"> and Incentive payments combined. </w:t>
      </w:r>
      <w:r w:rsidR="00263B2D" w:rsidRPr="008172CD">
        <w:rPr>
          <w:rFonts w:asciiTheme="majorHAnsi" w:hAnsiTheme="majorHAnsi" w:cstheme="majorHAnsi"/>
        </w:rPr>
        <w:t xml:space="preserve"> All expenditures must be supported by documentation</w:t>
      </w:r>
      <w:r w:rsidR="002611CC" w:rsidRPr="008172CD">
        <w:rPr>
          <w:rFonts w:asciiTheme="majorHAnsi" w:hAnsiTheme="majorHAnsi" w:cstheme="majorHAnsi"/>
        </w:rPr>
        <w:t xml:space="preserve"> as indicated below.</w:t>
      </w:r>
    </w:p>
    <w:p w14:paraId="7DCC6799" w14:textId="551551E3" w:rsidR="001278D6" w:rsidRPr="008172CD" w:rsidRDefault="002611CC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 </w:t>
      </w:r>
      <w:r w:rsidR="00263B2D" w:rsidRPr="008172CD">
        <w:rPr>
          <w:rFonts w:asciiTheme="majorHAnsi" w:hAnsiTheme="majorHAnsi" w:cstheme="majorHAnsi"/>
        </w:rPr>
        <w:t xml:space="preserve">Supportive services </w:t>
      </w:r>
      <w:r w:rsidR="00B668C6" w:rsidRPr="008172CD">
        <w:rPr>
          <w:rFonts w:asciiTheme="majorHAnsi" w:hAnsiTheme="majorHAnsi" w:cstheme="majorHAnsi"/>
        </w:rPr>
        <w:t xml:space="preserve">and Incentive payments </w:t>
      </w:r>
      <w:r w:rsidR="00263B2D" w:rsidRPr="008172CD">
        <w:rPr>
          <w:rFonts w:asciiTheme="majorHAnsi" w:hAnsiTheme="majorHAnsi" w:cstheme="majorHAnsi"/>
        </w:rPr>
        <w:t xml:space="preserve">are not an entitlement and are subject to </w:t>
      </w:r>
      <w:r w:rsidR="00A17735" w:rsidRPr="008172CD">
        <w:rPr>
          <w:rFonts w:asciiTheme="majorHAnsi" w:hAnsiTheme="majorHAnsi" w:cstheme="majorHAnsi"/>
        </w:rPr>
        <w:t xml:space="preserve">the </w:t>
      </w:r>
      <w:r w:rsidR="00263B2D" w:rsidRPr="008172CD">
        <w:rPr>
          <w:rFonts w:asciiTheme="majorHAnsi" w:hAnsiTheme="majorHAnsi" w:cstheme="majorHAnsi"/>
        </w:rPr>
        <w:t>availability of funds.</w:t>
      </w:r>
    </w:p>
    <w:p w14:paraId="25AF6094" w14:textId="77777777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Note: As funding availability fluctuates, additional limits or restrictions may be developed and implemented to ensure equitable distribution and program sustainability.</w:t>
      </w:r>
    </w:p>
    <w:p w14:paraId="4CC86A54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5418DB51" w14:textId="43F29845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Referral and Coordination Requirements</w:t>
      </w:r>
    </w:p>
    <w:p w14:paraId="7B78785F" w14:textId="71695CAD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Before WIOA funds are used</w:t>
      </w:r>
      <w:r w:rsidR="00C20B8A" w:rsidRPr="008172CD">
        <w:rPr>
          <w:rFonts w:asciiTheme="majorHAnsi" w:hAnsiTheme="majorHAnsi" w:cstheme="majorHAnsi"/>
        </w:rPr>
        <w:t xml:space="preserve"> for supportive services, </w:t>
      </w:r>
      <w:r w:rsidRPr="008172CD">
        <w:rPr>
          <w:rFonts w:asciiTheme="majorHAnsi" w:hAnsiTheme="majorHAnsi" w:cstheme="majorHAnsi"/>
        </w:rPr>
        <w:t>service providers must</w:t>
      </w:r>
      <w:r w:rsidR="008C4D41" w:rsidRPr="008172CD">
        <w:rPr>
          <w:rFonts w:asciiTheme="majorHAnsi" w:hAnsiTheme="majorHAnsi" w:cstheme="majorHAnsi"/>
        </w:rPr>
        <w:t xml:space="preserve"> a</w:t>
      </w:r>
      <w:r w:rsidRPr="008172CD">
        <w:rPr>
          <w:rFonts w:asciiTheme="majorHAnsi" w:hAnsiTheme="majorHAnsi" w:cstheme="majorHAnsi"/>
        </w:rPr>
        <w:t>ttempt to secure the needed service through other community resources</w:t>
      </w:r>
      <w:r w:rsidR="00057700" w:rsidRPr="008172CD">
        <w:rPr>
          <w:rFonts w:asciiTheme="majorHAnsi" w:hAnsiTheme="majorHAnsi" w:cstheme="majorHAnsi"/>
        </w:rPr>
        <w:t xml:space="preserve"> and d</w:t>
      </w:r>
      <w:r w:rsidRPr="008172CD">
        <w:rPr>
          <w:rFonts w:asciiTheme="majorHAnsi" w:hAnsiTheme="majorHAnsi" w:cstheme="majorHAnsi"/>
        </w:rPr>
        <w:t>ocument all referral efforts and outcomes.</w:t>
      </w:r>
    </w:p>
    <w:p w14:paraId="10F40EF5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675756EB" w14:textId="3FA3FB7F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Executive Director Exception Clause</w:t>
      </w:r>
    </w:p>
    <w:p w14:paraId="1CAE5CED" w14:textId="77777777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The Executive Director of the FMS Workforce Development Board may approve exceptions to the funding limit on a case-by-case basis, provided:</w:t>
      </w:r>
    </w:p>
    <w:p w14:paraId="682FA49F" w14:textId="317E4C56" w:rsidR="001278D6" w:rsidRPr="008172CD" w:rsidRDefault="0098709D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The participant’s unique circumstances justify the exception</w:t>
      </w:r>
      <w:r w:rsidR="00263B2D" w:rsidRPr="008172CD">
        <w:rPr>
          <w:rFonts w:asciiTheme="majorHAnsi" w:hAnsiTheme="majorHAnsi" w:cstheme="majorHAnsi"/>
        </w:rPr>
        <w:t>.</w:t>
      </w:r>
    </w:p>
    <w:p w14:paraId="06CB4E44" w14:textId="4A605760" w:rsidR="001278D6" w:rsidRPr="008172CD" w:rsidRDefault="00263B2D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Funds are available.</w:t>
      </w:r>
    </w:p>
    <w:p w14:paraId="40864CC3" w14:textId="6E74895E" w:rsidR="001278D6" w:rsidRPr="008172CD" w:rsidRDefault="00263B2D" w:rsidP="00817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The approval is documented in writing and retained in the participant’s file.</w:t>
      </w:r>
    </w:p>
    <w:p w14:paraId="4117481E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7B3BA84F" w14:textId="7DEE7BFB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Documentation Requirements</w:t>
      </w:r>
    </w:p>
    <w:p w14:paraId="3AB4C5E0" w14:textId="31C856C9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All supportive services </w:t>
      </w:r>
      <w:r w:rsidR="00B2722D" w:rsidRPr="008172CD">
        <w:rPr>
          <w:rFonts w:asciiTheme="majorHAnsi" w:hAnsiTheme="majorHAnsi" w:cstheme="majorHAnsi"/>
        </w:rPr>
        <w:t xml:space="preserve">and incentives </w:t>
      </w:r>
      <w:r w:rsidRPr="008172CD">
        <w:rPr>
          <w:rFonts w:asciiTheme="majorHAnsi" w:hAnsiTheme="majorHAnsi" w:cstheme="majorHAnsi"/>
        </w:rPr>
        <w:t>must be:</w:t>
      </w:r>
    </w:p>
    <w:p w14:paraId="441800DC" w14:textId="6DB23E27" w:rsidR="001278D6" w:rsidRPr="008172CD" w:rsidRDefault="00263B2D" w:rsidP="008172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Pre-approved</w:t>
      </w:r>
      <w:r w:rsidR="00EE3CDA" w:rsidRPr="008172CD">
        <w:rPr>
          <w:rFonts w:asciiTheme="majorHAnsi" w:hAnsiTheme="majorHAnsi" w:cstheme="majorHAnsi"/>
        </w:rPr>
        <w:t xml:space="preserve"> and signed </w:t>
      </w:r>
      <w:r w:rsidRPr="008172CD">
        <w:rPr>
          <w:rFonts w:asciiTheme="majorHAnsi" w:hAnsiTheme="majorHAnsi" w:cstheme="majorHAnsi"/>
        </w:rPr>
        <w:t>by the Title I Program Director.</w:t>
      </w:r>
    </w:p>
    <w:p w14:paraId="67E5D3A2" w14:textId="68A0A495" w:rsidR="001278D6" w:rsidRPr="008172CD" w:rsidRDefault="00263B2D" w:rsidP="008172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Documented in the participant’s Individual Employment Plan (IEP) or Individual Service Strategy (ISS)</w:t>
      </w:r>
      <w:r w:rsidR="00E74B20" w:rsidRPr="008172CD">
        <w:rPr>
          <w:rFonts w:asciiTheme="majorHAnsi" w:hAnsiTheme="majorHAnsi" w:cstheme="majorHAnsi"/>
        </w:rPr>
        <w:t xml:space="preserve"> and </w:t>
      </w:r>
      <w:r w:rsidR="00664519" w:rsidRPr="008172CD">
        <w:rPr>
          <w:rFonts w:asciiTheme="majorHAnsi" w:hAnsiTheme="majorHAnsi" w:cstheme="majorHAnsi"/>
        </w:rPr>
        <w:t>OSOS</w:t>
      </w:r>
      <w:r w:rsidR="00736469" w:rsidRPr="008172CD">
        <w:rPr>
          <w:rFonts w:asciiTheme="majorHAnsi" w:hAnsiTheme="majorHAnsi" w:cstheme="majorHAnsi"/>
        </w:rPr>
        <w:t xml:space="preserve"> case notes</w:t>
      </w:r>
      <w:r w:rsidR="00664519" w:rsidRPr="008172CD">
        <w:rPr>
          <w:rFonts w:asciiTheme="majorHAnsi" w:hAnsiTheme="majorHAnsi" w:cstheme="majorHAnsi"/>
        </w:rPr>
        <w:t xml:space="preserve">. </w:t>
      </w:r>
      <w:r w:rsidR="006C597E" w:rsidRPr="008172CD">
        <w:rPr>
          <w:rFonts w:asciiTheme="majorHAnsi" w:hAnsiTheme="majorHAnsi" w:cstheme="majorHAnsi"/>
        </w:rPr>
        <w:t xml:space="preserve">Must also </w:t>
      </w:r>
      <w:r w:rsidR="00E74B20" w:rsidRPr="008172CD">
        <w:rPr>
          <w:rFonts w:asciiTheme="majorHAnsi" w:hAnsiTheme="majorHAnsi" w:cstheme="majorHAnsi"/>
        </w:rPr>
        <w:t>include</w:t>
      </w:r>
      <w:r w:rsidR="00A266D4" w:rsidRPr="008172CD">
        <w:rPr>
          <w:rFonts w:asciiTheme="majorHAnsi" w:hAnsiTheme="majorHAnsi" w:cstheme="majorHAnsi"/>
        </w:rPr>
        <w:t>:</w:t>
      </w:r>
    </w:p>
    <w:p w14:paraId="5C0BF1C3" w14:textId="34D68095" w:rsidR="00F34EF5" w:rsidRPr="008172CD" w:rsidRDefault="00051B87" w:rsidP="008172CD">
      <w:pPr>
        <w:pStyle w:val="ListParagraph"/>
        <w:numPr>
          <w:ilvl w:val="1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Justification</w:t>
      </w:r>
      <w:r w:rsidR="00F34EF5" w:rsidRPr="008172CD">
        <w:rPr>
          <w:rFonts w:asciiTheme="majorHAnsi" w:hAnsiTheme="majorHAnsi" w:cstheme="majorHAnsi"/>
        </w:rPr>
        <w:t xml:space="preserve"> of need</w:t>
      </w:r>
      <w:r w:rsidR="00A266D4" w:rsidRPr="008172CD">
        <w:rPr>
          <w:rFonts w:asciiTheme="majorHAnsi" w:hAnsiTheme="majorHAnsi" w:cstheme="majorHAnsi"/>
        </w:rPr>
        <w:t>;</w:t>
      </w:r>
    </w:p>
    <w:p w14:paraId="04D9CB28" w14:textId="72BD03F7" w:rsidR="00A266D4" w:rsidRPr="008172CD" w:rsidRDefault="006C597E" w:rsidP="008172CD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All referral efforts and outcomes</w:t>
      </w:r>
      <w:r w:rsidR="00051B87" w:rsidRPr="008172CD">
        <w:rPr>
          <w:rFonts w:asciiTheme="majorHAnsi" w:hAnsiTheme="majorHAnsi" w:cstheme="majorHAnsi"/>
        </w:rPr>
        <w:t>;</w:t>
      </w:r>
    </w:p>
    <w:p w14:paraId="0CC081B0" w14:textId="13A4EC78" w:rsidR="00AF7173" w:rsidRPr="008172CD" w:rsidRDefault="00AF7173" w:rsidP="008172CD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Justification if an immediate provision is necessary due to hardship or lack of available alternatives.</w:t>
      </w:r>
    </w:p>
    <w:p w14:paraId="3BD251A1" w14:textId="4B54A9EA" w:rsidR="00A41E50" w:rsidRPr="008172CD" w:rsidRDefault="00A41E50" w:rsidP="008172C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Documented properly in OSOS</w:t>
      </w:r>
      <w:r w:rsidR="008F46D0" w:rsidRPr="008172CD">
        <w:rPr>
          <w:rFonts w:asciiTheme="majorHAnsi" w:hAnsiTheme="majorHAnsi" w:cstheme="majorHAnsi"/>
        </w:rPr>
        <w:t>;</w:t>
      </w:r>
    </w:p>
    <w:p w14:paraId="76F4D447" w14:textId="4DE4D36B" w:rsidR="001278D6" w:rsidRPr="008172CD" w:rsidRDefault="00263B2D" w:rsidP="008172C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Supported by receipts, mileage logs (if applicable), and referral records.</w:t>
      </w:r>
    </w:p>
    <w:p w14:paraId="29808D3F" w14:textId="53B41625" w:rsidR="0011693B" w:rsidRPr="008172CD" w:rsidRDefault="00366C78" w:rsidP="008172C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 xml:space="preserve">Documented </w:t>
      </w:r>
      <w:r w:rsidR="000C3897" w:rsidRPr="008172CD">
        <w:rPr>
          <w:rFonts w:asciiTheme="majorHAnsi" w:hAnsiTheme="majorHAnsi" w:cstheme="majorHAnsi"/>
        </w:rPr>
        <w:t>with attendance records</w:t>
      </w:r>
      <w:r w:rsidR="00C20B8A" w:rsidRPr="008172CD">
        <w:rPr>
          <w:rFonts w:asciiTheme="majorHAnsi" w:hAnsiTheme="majorHAnsi" w:cstheme="majorHAnsi"/>
        </w:rPr>
        <w:t>,</w:t>
      </w:r>
      <w:r w:rsidR="000C3897" w:rsidRPr="008172CD">
        <w:rPr>
          <w:rFonts w:asciiTheme="majorHAnsi" w:hAnsiTheme="majorHAnsi" w:cstheme="majorHAnsi"/>
        </w:rPr>
        <w:t xml:space="preserve"> participation logs</w:t>
      </w:r>
      <w:r w:rsidR="00C20B8A" w:rsidRPr="008172CD">
        <w:rPr>
          <w:rFonts w:asciiTheme="majorHAnsi" w:hAnsiTheme="majorHAnsi" w:cstheme="majorHAnsi"/>
        </w:rPr>
        <w:t>, or certificates of completion.</w:t>
      </w:r>
    </w:p>
    <w:p w14:paraId="03B9C995" w14:textId="77777777" w:rsidR="008172CD" w:rsidRPr="008172CD" w:rsidRDefault="008172CD" w:rsidP="008172CD">
      <w:pPr>
        <w:pStyle w:val="Heading2"/>
        <w:spacing w:before="0" w:line="240" w:lineRule="auto"/>
        <w:rPr>
          <w:rFonts w:cstheme="majorHAnsi"/>
          <w:color w:val="auto"/>
        </w:rPr>
      </w:pPr>
    </w:p>
    <w:p w14:paraId="71F4CBDC" w14:textId="35366B29" w:rsidR="001278D6" w:rsidRPr="008172CD" w:rsidRDefault="00263B2D" w:rsidP="008172CD">
      <w:pPr>
        <w:pStyle w:val="Heading2"/>
        <w:spacing w:before="0" w:line="240" w:lineRule="auto"/>
        <w:rPr>
          <w:rFonts w:cstheme="majorHAnsi"/>
          <w:color w:val="auto"/>
        </w:rPr>
      </w:pPr>
      <w:r w:rsidRPr="008172CD">
        <w:rPr>
          <w:rFonts w:cstheme="majorHAnsi"/>
          <w:color w:val="auto"/>
        </w:rPr>
        <w:t>Review and Updates</w:t>
      </w:r>
    </w:p>
    <w:p w14:paraId="573DB6F9" w14:textId="77777777" w:rsidR="001278D6" w:rsidRPr="008172CD" w:rsidRDefault="00263B2D" w:rsidP="008172CD">
      <w:pPr>
        <w:spacing w:after="0" w:line="240" w:lineRule="auto"/>
        <w:rPr>
          <w:rFonts w:asciiTheme="majorHAnsi" w:hAnsiTheme="majorHAnsi" w:cstheme="majorHAnsi"/>
        </w:rPr>
      </w:pPr>
      <w:r w:rsidRPr="008172CD">
        <w:rPr>
          <w:rFonts w:asciiTheme="majorHAnsi" w:hAnsiTheme="majorHAnsi" w:cstheme="majorHAnsi"/>
        </w:rPr>
        <w:t>This policy will be reviewed annually and updated as needed to remain compliant with federal and state WIOA regulations.</w:t>
      </w:r>
    </w:p>
    <w:sectPr w:rsidR="001278D6" w:rsidRPr="008172C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C6CC" w14:textId="77777777" w:rsidR="00C20B8A" w:rsidRDefault="00C20B8A" w:rsidP="00C20B8A">
      <w:pPr>
        <w:spacing w:after="0" w:line="240" w:lineRule="auto"/>
      </w:pPr>
      <w:r>
        <w:separator/>
      </w:r>
    </w:p>
  </w:endnote>
  <w:endnote w:type="continuationSeparator" w:id="0">
    <w:p w14:paraId="222E34CB" w14:textId="77777777" w:rsidR="00C20B8A" w:rsidRDefault="00C20B8A" w:rsidP="00C2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2A4C" w14:textId="312010CD" w:rsidR="008172CD" w:rsidRDefault="008172CD">
    <w:pPr>
      <w:pStyle w:val="Footer"/>
    </w:pPr>
    <w:r>
      <w:tab/>
    </w:r>
    <w:r>
      <w:tab/>
    </w:r>
    <w:r w:rsidR="00096B52">
      <w:t>Approved – 12/3/2025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A249" w14:textId="77777777" w:rsidR="00C20B8A" w:rsidRDefault="00C20B8A" w:rsidP="00C20B8A">
      <w:pPr>
        <w:spacing w:after="0" w:line="240" w:lineRule="auto"/>
      </w:pPr>
      <w:r>
        <w:separator/>
      </w:r>
    </w:p>
  </w:footnote>
  <w:footnote w:type="continuationSeparator" w:id="0">
    <w:p w14:paraId="35A67D16" w14:textId="77777777" w:rsidR="00C20B8A" w:rsidRDefault="00C20B8A" w:rsidP="00C2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0CB7" w14:textId="6CE9FA21" w:rsidR="00BB1B3F" w:rsidRDefault="00BB1B3F" w:rsidP="0009274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459FCD" wp14:editId="6E771805">
          <wp:simplePos x="0" y="0"/>
          <wp:positionH relativeFrom="margin">
            <wp:posOffset>-285750</wp:posOffset>
          </wp:positionH>
          <wp:positionV relativeFrom="paragraph">
            <wp:posOffset>-342900</wp:posOffset>
          </wp:positionV>
          <wp:extent cx="1911743" cy="1476375"/>
          <wp:effectExtent l="0" t="0" r="0" b="0"/>
          <wp:wrapNone/>
          <wp:docPr id="6505606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6069" name="Picture 1" descr="A logo for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743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749">
      <w:t xml:space="preserve">               </w:t>
    </w:r>
    <w:r>
      <w:t xml:space="preserve">                                 </w:t>
    </w:r>
    <w:r w:rsidR="00092749">
      <w:t xml:space="preserve">                                                      F</w:t>
    </w:r>
    <w:r w:rsidRPr="00BB1B3F">
      <w:t>ulton, Montgomery, Schohari</w:t>
    </w:r>
    <w:r w:rsidR="00092749">
      <w:t xml:space="preserve">e </w:t>
    </w:r>
    <w:r w:rsidRPr="00BB1B3F">
      <w:t>County</w:t>
    </w:r>
    <w:r w:rsidR="00092749">
      <w:t xml:space="preserve"> </w:t>
    </w:r>
  </w:p>
  <w:p w14:paraId="76EA9912" w14:textId="210E2747" w:rsidR="00092749" w:rsidRPr="00BB1B3F" w:rsidRDefault="00092749" w:rsidP="00092749">
    <w:pPr>
      <w:pStyle w:val="Header"/>
    </w:pPr>
    <w:r>
      <w:t xml:space="preserve">                                                                                                                     Workforce Development Board </w:t>
    </w:r>
  </w:p>
  <w:p w14:paraId="10131A36" w14:textId="0FBA1E54" w:rsidR="00092749" w:rsidRDefault="00092749">
    <w:pPr>
      <w:pStyle w:val="Header"/>
    </w:pPr>
    <w:r>
      <w:t xml:space="preserve">                                             </w:t>
    </w:r>
    <w:r w:rsidR="00BB1B3F" w:rsidRPr="00BB1B3F">
      <w:t xml:space="preserve">                                                                                       </w:t>
    </w:r>
    <w:r>
      <w:t xml:space="preserve"> </w:t>
    </w:r>
    <w:r w:rsidR="00BB1B3F" w:rsidRPr="00BB1B3F">
      <w:t xml:space="preserve">2620 Riverfront Center </w:t>
    </w:r>
  </w:p>
  <w:p w14:paraId="506D1E5C" w14:textId="6344F60E" w:rsidR="00BB1B3F" w:rsidRPr="00BB1B3F" w:rsidRDefault="00092749">
    <w:pPr>
      <w:pStyle w:val="Header"/>
    </w:pPr>
    <w:r>
      <w:t xml:space="preserve">                                                                                                                                      </w:t>
    </w:r>
    <w:r w:rsidR="00BB1B3F" w:rsidRPr="00BB1B3F">
      <w:t>Amsterdam, NY 12010</w:t>
    </w:r>
  </w:p>
  <w:p w14:paraId="6185A0A1" w14:textId="33F0AB3C" w:rsidR="00BB1B3F" w:rsidRPr="00BB1B3F" w:rsidRDefault="00BB1B3F">
    <w:pPr>
      <w:pStyle w:val="Header"/>
    </w:pPr>
    <w:r w:rsidRPr="00BB1B3F">
      <w:t xml:space="preserve">                                                                                                                           FMSWorkforcesolutions.org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892EA6"/>
    <w:multiLevelType w:val="hybridMultilevel"/>
    <w:tmpl w:val="B48863BA"/>
    <w:lvl w:ilvl="0" w:tplc="8BA4B34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4259"/>
    <w:multiLevelType w:val="hybridMultilevel"/>
    <w:tmpl w:val="2116C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E230B"/>
    <w:multiLevelType w:val="hybridMultilevel"/>
    <w:tmpl w:val="35CC2FA4"/>
    <w:lvl w:ilvl="0" w:tplc="8BA4B34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F26C7"/>
    <w:multiLevelType w:val="hybridMultilevel"/>
    <w:tmpl w:val="BD78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844E0"/>
    <w:multiLevelType w:val="hybridMultilevel"/>
    <w:tmpl w:val="EF12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545B0"/>
    <w:multiLevelType w:val="hybridMultilevel"/>
    <w:tmpl w:val="283E2870"/>
    <w:lvl w:ilvl="0" w:tplc="8BA4B34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B7321"/>
    <w:multiLevelType w:val="hybridMultilevel"/>
    <w:tmpl w:val="F3D270B4"/>
    <w:lvl w:ilvl="0" w:tplc="8BA4B34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90C37"/>
    <w:multiLevelType w:val="hybridMultilevel"/>
    <w:tmpl w:val="136ED34C"/>
    <w:lvl w:ilvl="0" w:tplc="8BA4B34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67835">
    <w:abstractNumId w:val="8"/>
  </w:num>
  <w:num w:numId="2" w16cid:durableId="1301305770">
    <w:abstractNumId w:val="6"/>
  </w:num>
  <w:num w:numId="3" w16cid:durableId="2025016943">
    <w:abstractNumId w:val="5"/>
  </w:num>
  <w:num w:numId="4" w16cid:durableId="1077895060">
    <w:abstractNumId w:val="4"/>
  </w:num>
  <w:num w:numId="5" w16cid:durableId="1896812150">
    <w:abstractNumId w:val="7"/>
  </w:num>
  <w:num w:numId="6" w16cid:durableId="478107964">
    <w:abstractNumId w:val="3"/>
  </w:num>
  <w:num w:numId="7" w16cid:durableId="668212661">
    <w:abstractNumId w:val="2"/>
  </w:num>
  <w:num w:numId="8" w16cid:durableId="577716224">
    <w:abstractNumId w:val="1"/>
  </w:num>
  <w:num w:numId="9" w16cid:durableId="1404378248">
    <w:abstractNumId w:val="0"/>
  </w:num>
  <w:num w:numId="10" w16cid:durableId="2127307729">
    <w:abstractNumId w:val="13"/>
  </w:num>
  <w:num w:numId="11" w16cid:durableId="284896410">
    <w:abstractNumId w:val="14"/>
  </w:num>
  <w:num w:numId="12" w16cid:durableId="1207763222">
    <w:abstractNumId w:val="16"/>
  </w:num>
  <w:num w:numId="13" w16cid:durableId="479342779">
    <w:abstractNumId w:val="10"/>
  </w:num>
  <w:num w:numId="14" w16cid:durableId="1615866497">
    <w:abstractNumId w:val="12"/>
  </w:num>
  <w:num w:numId="15" w16cid:durableId="164322467">
    <w:abstractNumId w:val="11"/>
  </w:num>
  <w:num w:numId="16" w16cid:durableId="689182264">
    <w:abstractNumId w:val="9"/>
  </w:num>
  <w:num w:numId="17" w16cid:durableId="791362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4A"/>
    <w:rsid w:val="00024C28"/>
    <w:rsid w:val="00034616"/>
    <w:rsid w:val="00043774"/>
    <w:rsid w:val="00051B87"/>
    <w:rsid w:val="00056728"/>
    <w:rsid w:val="00057700"/>
    <w:rsid w:val="0006063C"/>
    <w:rsid w:val="000715D8"/>
    <w:rsid w:val="000770FF"/>
    <w:rsid w:val="00092749"/>
    <w:rsid w:val="00096B52"/>
    <w:rsid w:val="000C3897"/>
    <w:rsid w:val="00102941"/>
    <w:rsid w:val="0011693B"/>
    <w:rsid w:val="001278D6"/>
    <w:rsid w:val="0015074B"/>
    <w:rsid w:val="00193D29"/>
    <w:rsid w:val="001D16EB"/>
    <w:rsid w:val="002104E7"/>
    <w:rsid w:val="002244FB"/>
    <w:rsid w:val="00227E6C"/>
    <w:rsid w:val="002611CC"/>
    <w:rsid w:val="00263B2D"/>
    <w:rsid w:val="00273013"/>
    <w:rsid w:val="0029639D"/>
    <w:rsid w:val="002C511B"/>
    <w:rsid w:val="00304C5B"/>
    <w:rsid w:val="0030777B"/>
    <w:rsid w:val="0031694C"/>
    <w:rsid w:val="00326F90"/>
    <w:rsid w:val="00335376"/>
    <w:rsid w:val="00366C78"/>
    <w:rsid w:val="0037648C"/>
    <w:rsid w:val="00377A6F"/>
    <w:rsid w:val="003B4130"/>
    <w:rsid w:val="003C7EE0"/>
    <w:rsid w:val="00440403"/>
    <w:rsid w:val="0047428B"/>
    <w:rsid w:val="004844E4"/>
    <w:rsid w:val="004B2B17"/>
    <w:rsid w:val="005003C1"/>
    <w:rsid w:val="00560410"/>
    <w:rsid w:val="005956EA"/>
    <w:rsid w:val="005B254D"/>
    <w:rsid w:val="006041EA"/>
    <w:rsid w:val="00652103"/>
    <w:rsid w:val="00654CE8"/>
    <w:rsid w:val="0066372F"/>
    <w:rsid w:val="00664519"/>
    <w:rsid w:val="006A4E35"/>
    <w:rsid w:val="006C597E"/>
    <w:rsid w:val="006D162A"/>
    <w:rsid w:val="00736469"/>
    <w:rsid w:val="00751387"/>
    <w:rsid w:val="0080335B"/>
    <w:rsid w:val="008172CD"/>
    <w:rsid w:val="00843400"/>
    <w:rsid w:val="008C0330"/>
    <w:rsid w:val="008C4D41"/>
    <w:rsid w:val="008D2F5A"/>
    <w:rsid w:val="008F46D0"/>
    <w:rsid w:val="008F5522"/>
    <w:rsid w:val="00926E07"/>
    <w:rsid w:val="00932D9E"/>
    <w:rsid w:val="00935AB3"/>
    <w:rsid w:val="00946EE5"/>
    <w:rsid w:val="00964434"/>
    <w:rsid w:val="009645E1"/>
    <w:rsid w:val="0098709D"/>
    <w:rsid w:val="00991766"/>
    <w:rsid w:val="009A27E3"/>
    <w:rsid w:val="00A17735"/>
    <w:rsid w:val="00A25B05"/>
    <w:rsid w:val="00A266D4"/>
    <w:rsid w:val="00A33BFD"/>
    <w:rsid w:val="00A3519E"/>
    <w:rsid w:val="00A41E50"/>
    <w:rsid w:val="00A56D8A"/>
    <w:rsid w:val="00A94944"/>
    <w:rsid w:val="00AA1D8D"/>
    <w:rsid w:val="00AA5E01"/>
    <w:rsid w:val="00AE5444"/>
    <w:rsid w:val="00AF7173"/>
    <w:rsid w:val="00B01421"/>
    <w:rsid w:val="00B17AD2"/>
    <w:rsid w:val="00B2722D"/>
    <w:rsid w:val="00B41591"/>
    <w:rsid w:val="00B47730"/>
    <w:rsid w:val="00B668C6"/>
    <w:rsid w:val="00BB1B3F"/>
    <w:rsid w:val="00BC6FE2"/>
    <w:rsid w:val="00BF08A3"/>
    <w:rsid w:val="00C151DF"/>
    <w:rsid w:val="00C20B8A"/>
    <w:rsid w:val="00C44FBB"/>
    <w:rsid w:val="00C542F8"/>
    <w:rsid w:val="00C5514B"/>
    <w:rsid w:val="00C57C5B"/>
    <w:rsid w:val="00C80029"/>
    <w:rsid w:val="00C86541"/>
    <w:rsid w:val="00C94868"/>
    <w:rsid w:val="00CA1C0D"/>
    <w:rsid w:val="00CB0664"/>
    <w:rsid w:val="00CD084A"/>
    <w:rsid w:val="00CD46B1"/>
    <w:rsid w:val="00CE27FC"/>
    <w:rsid w:val="00D410EE"/>
    <w:rsid w:val="00D7790B"/>
    <w:rsid w:val="00D825C3"/>
    <w:rsid w:val="00DA4C8D"/>
    <w:rsid w:val="00DB0DF5"/>
    <w:rsid w:val="00E1239A"/>
    <w:rsid w:val="00E1270D"/>
    <w:rsid w:val="00E27763"/>
    <w:rsid w:val="00E333DD"/>
    <w:rsid w:val="00E36D73"/>
    <w:rsid w:val="00E63329"/>
    <w:rsid w:val="00E74B20"/>
    <w:rsid w:val="00E952E4"/>
    <w:rsid w:val="00EA00A1"/>
    <w:rsid w:val="00EA5EDF"/>
    <w:rsid w:val="00EC4758"/>
    <w:rsid w:val="00EC48AC"/>
    <w:rsid w:val="00EC5273"/>
    <w:rsid w:val="00EE3CDA"/>
    <w:rsid w:val="00F21FBA"/>
    <w:rsid w:val="00F34EF5"/>
    <w:rsid w:val="00F43688"/>
    <w:rsid w:val="00F51B34"/>
    <w:rsid w:val="00FB1604"/>
    <w:rsid w:val="00FC693F"/>
    <w:rsid w:val="00FD1CFC"/>
    <w:rsid w:val="00FE721F"/>
    <w:rsid w:val="00FF0D03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86F514A"/>
  <w14:defaultImageDpi w14:val="300"/>
  <w15:docId w15:val="{86DAFCB4-58B2-4900-A3B3-61A9B190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43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Heather Pettit</cp:lastModifiedBy>
  <cp:revision>2</cp:revision>
  <cp:lastPrinted>2025-11-28T18:23:00Z</cp:lastPrinted>
  <dcterms:created xsi:type="dcterms:W3CDTF">2025-12-08T16:44:00Z</dcterms:created>
  <dcterms:modified xsi:type="dcterms:W3CDTF">2025-12-08T16:44:00Z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e13ea1e9-a6d0-41ca-a943-d4c158015ec4</vt:lpwstr>
  </property>
</Properties>
</file>